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40E5B" w14:textId="77777777" w:rsidR="007E7DEB" w:rsidRPr="00D11F6E" w:rsidRDefault="00D11F6E">
      <w:pPr>
        <w:pStyle w:val="Heading2"/>
        <w:jc w:val="center"/>
        <w:rPr>
          <w:b/>
          <w:sz w:val="38"/>
          <w:szCs w:val="38"/>
        </w:rPr>
      </w:pPr>
      <w:bookmarkStart w:id="0" w:name="_xlk8iyvl8fj8"/>
      <w:bookmarkEnd w:id="0"/>
      <w:r w:rsidRPr="00D11F6E">
        <w:rPr>
          <w:b/>
          <w:bCs/>
          <w:sz w:val="38"/>
          <w:szCs w:val="38"/>
        </w:rPr>
        <w:t>Comité Asesor de Asignación de Recursos de Oregón</w:t>
      </w:r>
    </w:p>
    <w:p w14:paraId="51F78F3A" w14:textId="77777777" w:rsidR="007E7DEB" w:rsidRPr="00D11F6E" w:rsidRDefault="00D11F6E">
      <w:pPr>
        <w:widowControl w:val="0"/>
        <w:spacing w:line="240" w:lineRule="auto"/>
        <w:jc w:val="center"/>
        <w:rPr>
          <w:sz w:val="24"/>
          <w:szCs w:val="24"/>
        </w:rPr>
      </w:pPr>
      <w:r w:rsidRPr="00D11F6E">
        <w:rPr>
          <w:sz w:val="24"/>
          <w:szCs w:val="24"/>
        </w:rPr>
        <w:t>Resumen de la reunión del 27 de abril de 2023</w:t>
      </w:r>
    </w:p>
    <w:p w14:paraId="213E7991" w14:textId="77777777" w:rsidR="007E7DEB" w:rsidRPr="00D11F6E" w:rsidRDefault="00D11F6E">
      <w:pPr>
        <w:pStyle w:val="Heading3"/>
        <w:rPr>
          <w:b/>
        </w:rPr>
      </w:pPr>
      <w:bookmarkStart w:id="1" w:name="_9igbqgqasucz"/>
      <w:bookmarkEnd w:id="1"/>
      <w:r w:rsidRPr="00D11F6E">
        <w:rPr>
          <w:b/>
          <w:bCs/>
        </w:rPr>
        <w:t>Resumen</w:t>
      </w:r>
    </w:p>
    <w:p w14:paraId="74CA6CD0" w14:textId="77777777" w:rsidR="007E7DEB" w:rsidRPr="00D11F6E" w:rsidRDefault="007E7DEB">
      <w:pPr>
        <w:rPr>
          <w:b/>
          <w:sz w:val="24"/>
          <w:szCs w:val="24"/>
        </w:rPr>
      </w:pPr>
    </w:p>
    <w:tbl>
      <w:tblPr>
        <w:tblStyle w:val="a"/>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8400"/>
      </w:tblGrid>
      <w:tr w:rsidR="000056A0" w:rsidRPr="00D11F6E" w14:paraId="7233ED63" w14:textId="77777777">
        <w:tc>
          <w:tcPr>
            <w:tcW w:w="22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4BD7029" w14:textId="77777777" w:rsidR="007E7DEB" w:rsidRPr="00D11F6E" w:rsidRDefault="00D11F6E">
            <w:pPr>
              <w:widowControl w:val="0"/>
              <w:spacing w:line="240" w:lineRule="auto"/>
              <w:jc w:val="right"/>
              <w:rPr>
                <w:sz w:val="24"/>
                <w:szCs w:val="24"/>
                <w:u w:val="single"/>
              </w:rPr>
            </w:pPr>
            <w:r w:rsidRPr="00D11F6E">
              <w:rPr>
                <w:sz w:val="24"/>
                <w:szCs w:val="24"/>
                <w:u w:val="single"/>
              </w:rPr>
              <w:t>Objetivo</w:t>
            </w:r>
          </w:p>
        </w:tc>
        <w:tc>
          <w:tcPr>
            <w:tcW w:w="84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2848D77" w14:textId="77777777" w:rsidR="007E7DEB" w:rsidRPr="00D11F6E" w:rsidRDefault="00D11F6E">
            <w:pPr>
              <w:widowControl w:val="0"/>
              <w:spacing w:line="240" w:lineRule="auto"/>
              <w:rPr>
                <w:sz w:val="24"/>
                <w:szCs w:val="24"/>
              </w:rPr>
            </w:pPr>
            <w:r w:rsidRPr="00D11F6E">
              <w:rPr>
                <w:sz w:val="24"/>
                <w:szCs w:val="24"/>
              </w:rPr>
              <w:t xml:space="preserve">Revisar el primer borrador de las recomendaciones del Comité Asesor de Asignación de Recursos de Oregón (Oregon Resource Allocation Advisory Committee, ORAAC) que se encuentra en preparación para la participación pública. </w:t>
            </w:r>
          </w:p>
        </w:tc>
      </w:tr>
      <w:tr w:rsidR="000056A0" w:rsidRPr="00D11F6E" w14:paraId="1BBBE43B" w14:textId="77777777">
        <w:tc>
          <w:tcPr>
            <w:tcW w:w="22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D26E307" w14:textId="77777777" w:rsidR="007E7DEB" w:rsidRPr="00D11F6E" w:rsidRDefault="00D11F6E">
            <w:pPr>
              <w:widowControl w:val="0"/>
              <w:spacing w:line="240" w:lineRule="auto"/>
              <w:jc w:val="right"/>
              <w:rPr>
                <w:sz w:val="24"/>
                <w:szCs w:val="24"/>
                <w:u w:val="single"/>
              </w:rPr>
            </w:pPr>
            <w:r w:rsidRPr="00D11F6E">
              <w:rPr>
                <w:sz w:val="24"/>
                <w:szCs w:val="24"/>
                <w:u w:val="single"/>
              </w:rPr>
              <w:t>Resultados deseados</w:t>
            </w:r>
          </w:p>
        </w:tc>
        <w:tc>
          <w:tcPr>
            <w:tcW w:w="84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7E06B51" w14:textId="77777777" w:rsidR="007E7DEB" w:rsidRPr="00D11F6E" w:rsidRDefault="00D11F6E">
            <w:pPr>
              <w:widowControl w:val="0"/>
              <w:numPr>
                <w:ilvl w:val="0"/>
                <w:numId w:val="1"/>
              </w:numPr>
              <w:spacing w:line="240" w:lineRule="auto"/>
              <w:rPr>
                <w:sz w:val="24"/>
                <w:szCs w:val="24"/>
              </w:rPr>
            </w:pPr>
            <w:r w:rsidRPr="00D11F6E">
              <w:rPr>
                <w:sz w:val="24"/>
                <w:szCs w:val="24"/>
              </w:rPr>
              <w:t>Reducir las opciones de enfoques de priorización a 3 o 4 para presentar al público</w:t>
            </w:r>
          </w:p>
          <w:p w14:paraId="2781F238" w14:textId="77777777" w:rsidR="007E7DEB" w:rsidRPr="00D11F6E" w:rsidRDefault="00D11F6E">
            <w:pPr>
              <w:widowControl w:val="0"/>
              <w:numPr>
                <w:ilvl w:val="0"/>
                <w:numId w:val="1"/>
              </w:numPr>
              <w:spacing w:line="240" w:lineRule="auto"/>
              <w:rPr>
                <w:sz w:val="24"/>
                <w:szCs w:val="24"/>
              </w:rPr>
            </w:pPr>
            <w:r w:rsidRPr="00D11F6E">
              <w:rPr>
                <w:sz w:val="24"/>
                <w:szCs w:val="24"/>
              </w:rPr>
              <w:t>Recopilar comentarios de los miembros del comité para desarrollar un segundo borrador de las recomendaciones</w:t>
            </w:r>
          </w:p>
          <w:p w14:paraId="3F36287C" w14:textId="77777777" w:rsidR="007E7DEB" w:rsidRPr="00D11F6E" w:rsidRDefault="00D11F6E">
            <w:pPr>
              <w:widowControl w:val="0"/>
              <w:numPr>
                <w:ilvl w:val="0"/>
                <w:numId w:val="1"/>
              </w:numPr>
              <w:spacing w:line="240" w:lineRule="auto"/>
              <w:rPr>
                <w:sz w:val="24"/>
                <w:szCs w:val="24"/>
              </w:rPr>
            </w:pPr>
            <w:r w:rsidRPr="00D11F6E">
              <w:rPr>
                <w:sz w:val="24"/>
                <w:szCs w:val="24"/>
              </w:rPr>
              <w:t>Recordarles a los miembros del comité sobre las próximas oportunidades de participación pública</w:t>
            </w:r>
          </w:p>
        </w:tc>
      </w:tr>
    </w:tbl>
    <w:p w14:paraId="122F7458" w14:textId="77777777" w:rsidR="007E7DEB" w:rsidRPr="00D11F6E" w:rsidRDefault="00D11F6E">
      <w:pPr>
        <w:pStyle w:val="Heading3"/>
        <w:rPr>
          <w:b/>
        </w:rPr>
      </w:pPr>
      <w:bookmarkStart w:id="2" w:name="_phm1ij1xzx3y"/>
      <w:bookmarkEnd w:id="2"/>
      <w:r w:rsidRPr="00D11F6E">
        <w:rPr>
          <w:b/>
          <w:bCs/>
        </w:rPr>
        <w:t>Programa</w:t>
      </w:r>
    </w:p>
    <w:p w14:paraId="418EFD54" w14:textId="77777777" w:rsidR="007E7DEB" w:rsidRPr="00D11F6E" w:rsidRDefault="00D11F6E">
      <w:pPr>
        <w:numPr>
          <w:ilvl w:val="0"/>
          <w:numId w:val="3"/>
        </w:numPr>
        <w:rPr>
          <w:sz w:val="24"/>
          <w:szCs w:val="24"/>
        </w:rPr>
      </w:pPr>
      <w:r w:rsidRPr="00D11F6E">
        <w:rPr>
          <w:sz w:val="24"/>
          <w:szCs w:val="24"/>
        </w:rPr>
        <w:t>Bienvenida</w:t>
      </w:r>
    </w:p>
    <w:p w14:paraId="2599638C" w14:textId="77777777" w:rsidR="007E7DEB" w:rsidRPr="00D11F6E" w:rsidRDefault="00D11F6E">
      <w:pPr>
        <w:numPr>
          <w:ilvl w:val="0"/>
          <w:numId w:val="3"/>
        </w:numPr>
        <w:rPr>
          <w:sz w:val="24"/>
          <w:szCs w:val="24"/>
        </w:rPr>
      </w:pPr>
      <w:r w:rsidRPr="00D11F6E">
        <w:rPr>
          <w:sz w:val="24"/>
          <w:szCs w:val="24"/>
        </w:rPr>
        <w:t>Revisión de opciones de priorización</w:t>
      </w:r>
    </w:p>
    <w:p w14:paraId="088CB825" w14:textId="77777777" w:rsidR="007E7DEB" w:rsidRPr="00D11F6E" w:rsidRDefault="00D11F6E">
      <w:pPr>
        <w:numPr>
          <w:ilvl w:val="0"/>
          <w:numId w:val="3"/>
        </w:numPr>
        <w:rPr>
          <w:sz w:val="24"/>
          <w:szCs w:val="24"/>
        </w:rPr>
      </w:pPr>
      <w:r w:rsidRPr="00D11F6E">
        <w:rPr>
          <w:sz w:val="24"/>
          <w:szCs w:val="24"/>
        </w:rPr>
        <w:t xml:space="preserve">Comentario público </w:t>
      </w:r>
    </w:p>
    <w:p w14:paraId="19812575" w14:textId="77777777" w:rsidR="007E7DEB" w:rsidRPr="00D11F6E" w:rsidRDefault="00D11F6E">
      <w:pPr>
        <w:numPr>
          <w:ilvl w:val="0"/>
          <w:numId w:val="3"/>
        </w:numPr>
        <w:rPr>
          <w:sz w:val="24"/>
          <w:szCs w:val="24"/>
        </w:rPr>
      </w:pPr>
      <w:r w:rsidRPr="00D11F6E">
        <w:rPr>
          <w:sz w:val="24"/>
          <w:szCs w:val="24"/>
        </w:rPr>
        <w:t>Receso</w:t>
      </w:r>
    </w:p>
    <w:p w14:paraId="0A86ADF5" w14:textId="77777777" w:rsidR="007E7DEB" w:rsidRPr="00D11F6E" w:rsidRDefault="00D11F6E">
      <w:pPr>
        <w:numPr>
          <w:ilvl w:val="0"/>
          <w:numId w:val="3"/>
        </w:numPr>
        <w:rPr>
          <w:sz w:val="24"/>
          <w:szCs w:val="24"/>
        </w:rPr>
      </w:pPr>
      <w:r w:rsidRPr="00D11F6E">
        <w:rPr>
          <w:sz w:val="24"/>
          <w:szCs w:val="24"/>
        </w:rPr>
        <w:t>Momento para debatir en grupos pequeños</w:t>
      </w:r>
    </w:p>
    <w:p w14:paraId="6BCC492C" w14:textId="77777777" w:rsidR="007E7DEB" w:rsidRPr="00D11F6E" w:rsidRDefault="00D11F6E">
      <w:pPr>
        <w:numPr>
          <w:ilvl w:val="0"/>
          <w:numId w:val="3"/>
        </w:numPr>
        <w:rPr>
          <w:sz w:val="24"/>
          <w:szCs w:val="24"/>
        </w:rPr>
      </w:pPr>
      <w:r w:rsidRPr="00D11F6E">
        <w:rPr>
          <w:sz w:val="24"/>
          <w:szCs w:val="24"/>
        </w:rPr>
        <w:t>Momento para compartir opiniones en el grupo general</w:t>
      </w:r>
    </w:p>
    <w:p w14:paraId="17200D88" w14:textId="77777777" w:rsidR="007E7DEB" w:rsidRPr="00D11F6E" w:rsidRDefault="00D11F6E">
      <w:pPr>
        <w:numPr>
          <w:ilvl w:val="0"/>
          <w:numId w:val="3"/>
        </w:numPr>
        <w:rPr>
          <w:sz w:val="24"/>
          <w:szCs w:val="24"/>
        </w:rPr>
      </w:pPr>
      <w:r w:rsidRPr="00D11F6E">
        <w:rPr>
          <w:sz w:val="24"/>
          <w:szCs w:val="24"/>
        </w:rPr>
        <w:t>Cierre</w:t>
      </w:r>
    </w:p>
    <w:p w14:paraId="43B3C74A" w14:textId="77777777" w:rsidR="007E7DEB" w:rsidRPr="00D11F6E" w:rsidRDefault="00D11F6E">
      <w:pPr>
        <w:pStyle w:val="Heading3"/>
        <w:rPr>
          <w:b/>
          <w:sz w:val="24"/>
          <w:szCs w:val="24"/>
        </w:rPr>
      </w:pPr>
      <w:bookmarkStart w:id="3" w:name="_5iszl66fq727"/>
      <w:bookmarkEnd w:id="3"/>
      <w:r w:rsidRPr="00D11F6E">
        <w:rPr>
          <w:b/>
          <w:bCs/>
        </w:rPr>
        <w:t>Minutas de la reunión</w:t>
      </w:r>
    </w:p>
    <w:p w14:paraId="62F13427" w14:textId="77777777" w:rsidR="007E7DEB" w:rsidRPr="00D11F6E" w:rsidRDefault="00D11F6E">
      <w:pPr>
        <w:rPr>
          <w:i/>
          <w:sz w:val="24"/>
          <w:szCs w:val="24"/>
        </w:rPr>
      </w:pPr>
      <w:r w:rsidRPr="00D11F6E">
        <w:rPr>
          <w:i/>
          <w:iCs/>
          <w:sz w:val="24"/>
          <w:szCs w:val="24"/>
        </w:rPr>
        <w:t>Bienvenida</w:t>
      </w:r>
    </w:p>
    <w:p w14:paraId="5A6AA6F1" w14:textId="133F591F" w:rsidR="007E7DEB" w:rsidRPr="00D11F6E" w:rsidRDefault="00D11F6E">
      <w:pPr>
        <w:rPr>
          <w:sz w:val="24"/>
          <w:szCs w:val="24"/>
        </w:rPr>
      </w:pPr>
      <w:r w:rsidRPr="00D11F6E">
        <w:rPr>
          <w:sz w:val="24"/>
          <w:szCs w:val="24"/>
        </w:rPr>
        <w:t xml:space="preserve">En lugar de centrarse en reducir las opciones de priorización tal como se indicó originalmente en los materiales de la reunión, esta reunión se centrará en revisar las opciones de priorización en profundidad. Después de que se revisen los materiales, los miembros del comité tendrán la oportunidad de compartir los posibles beneficios y las inquietudes serias sobre las opciones de priorización en relación con la promoción de la equidad en salud. </w:t>
      </w:r>
    </w:p>
    <w:p w14:paraId="48933F2C" w14:textId="77777777" w:rsidR="007E7DEB" w:rsidRPr="00D11F6E" w:rsidRDefault="007E7DEB">
      <w:pPr>
        <w:rPr>
          <w:sz w:val="24"/>
          <w:szCs w:val="24"/>
        </w:rPr>
      </w:pPr>
    </w:p>
    <w:p w14:paraId="53EB49BC" w14:textId="77777777" w:rsidR="007E7DEB" w:rsidRPr="00D11F6E" w:rsidRDefault="00D11F6E">
      <w:pPr>
        <w:rPr>
          <w:i/>
          <w:sz w:val="24"/>
          <w:szCs w:val="24"/>
        </w:rPr>
      </w:pPr>
      <w:r w:rsidRPr="00D11F6E">
        <w:rPr>
          <w:i/>
          <w:iCs/>
          <w:sz w:val="24"/>
          <w:szCs w:val="24"/>
        </w:rPr>
        <w:t>Revisión de opciones de priorización</w:t>
      </w:r>
    </w:p>
    <w:p w14:paraId="04788778" w14:textId="77777777" w:rsidR="007E7DEB" w:rsidRPr="00D11F6E" w:rsidRDefault="00D11F6E">
      <w:pPr>
        <w:rPr>
          <w:sz w:val="24"/>
          <w:szCs w:val="24"/>
        </w:rPr>
      </w:pPr>
      <w:r w:rsidRPr="00D11F6E">
        <w:rPr>
          <w:sz w:val="24"/>
          <w:szCs w:val="24"/>
        </w:rPr>
        <w:t xml:space="preserve">Los criterios, la justificación y las desventajas de 7 opciones de priorización: oportunidades equitativas, pronóstico clínico, SOFA/mSOFA, trabajador esencial (añadido al índice de desventaja), prioridad </w:t>
      </w:r>
      <w:r w:rsidRPr="00D11F6E">
        <w:rPr>
          <w:color w:val="FF0000"/>
          <w:sz w:val="24"/>
          <w:szCs w:val="24"/>
        </w:rPr>
        <w:t>a nivel individual</w:t>
      </w:r>
      <w:r w:rsidRPr="00D11F6E">
        <w:rPr>
          <w:sz w:val="24"/>
          <w:szCs w:val="24"/>
        </w:rPr>
        <w:t xml:space="preserve"> del trabajador esencial, efecto multiplicador y ciclo de vida. El Oregon Health Authority señaló que la agencia tiene serias inquietudes sobre el uso de SOFA/mSOFA y el ciclo de vida en la asignación de recursos.</w:t>
      </w:r>
    </w:p>
    <w:p w14:paraId="1EF1B5BA" w14:textId="77777777" w:rsidR="007E7DEB" w:rsidRPr="00D11F6E" w:rsidRDefault="007E7DEB">
      <w:pPr>
        <w:rPr>
          <w:sz w:val="24"/>
          <w:szCs w:val="24"/>
        </w:rPr>
      </w:pPr>
    </w:p>
    <w:p w14:paraId="39D55DB6" w14:textId="77777777" w:rsidR="007E7DEB" w:rsidRPr="00D11F6E" w:rsidRDefault="00D11F6E">
      <w:pPr>
        <w:rPr>
          <w:sz w:val="24"/>
          <w:szCs w:val="24"/>
        </w:rPr>
      </w:pPr>
      <w:r w:rsidRPr="00D11F6E">
        <w:rPr>
          <w:sz w:val="24"/>
          <w:szCs w:val="24"/>
        </w:rPr>
        <w:t>Preguntas de los miembros del comité:</w:t>
      </w:r>
    </w:p>
    <w:p w14:paraId="4978F159" w14:textId="77777777" w:rsidR="007E7DEB" w:rsidRPr="00D11F6E" w:rsidRDefault="00D11F6E">
      <w:pPr>
        <w:numPr>
          <w:ilvl w:val="0"/>
          <w:numId w:val="4"/>
        </w:numPr>
        <w:rPr>
          <w:sz w:val="24"/>
          <w:szCs w:val="24"/>
        </w:rPr>
      </w:pPr>
      <w:r w:rsidRPr="00D11F6E">
        <w:rPr>
          <w:sz w:val="24"/>
          <w:szCs w:val="24"/>
        </w:rPr>
        <w:t xml:space="preserve">¿Quién determina el pronóstico clínico? </w:t>
      </w:r>
    </w:p>
    <w:p w14:paraId="3FCFC231" w14:textId="77777777" w:rsidR="007E7DEB" w:rsidRPr="00D11F6E" w:rsidRDefault="00D11F6E">
      <w:pPr>
        <w:numPr>
          <w:ilvl w:val="0"/>
          <w:numId w:val="4"/>
        </w:numPr>
        <w:rPr>
          <w:sz w:val="24"/>
          <w:szCs w:val="24"/>
        </w:rPr>
      </w:pPr>
      <w:r w:rsidRPr="00D11F6E">
        <w:rPr>
          <w:sz w:val="24"/>
          <w:szCs w:val="24"/>
        </w:rPr>
        <w:lastRenderedPageBreak/>
        <w:t xml:space="preserve">¿Cómo determinarían los profesionales de la salud el pronóstico? </w:t>
      </w:r>
    </w:p>
    <w:p w14:paraId="2059A9FE" w14:textId="77777777" w:rsidR="007E7DEB" w:rsidRPr="00D11F6E" w:rsidRDefault="00D11F6E">
      <w:pPr>
        <w:numPr>
          <w:ilvl w:val="0"/>
          <w:numId w:val="4"/>
        </w:numPr>
        <w:rPr>
          <w:sz w:val="24"/>
          <w:szCs w:val="24"/>
        </w:rPr>
      </w:pPr>
      <w:r w:rsidRPr="00D11F6E">
        <w:rPr>
          <w:sz w:val="24"/>
          <w:szCs w:val="24"/>
        </w:rPr>
        <w:t>¿Es el contexto [de utilizar estas opciones de priorización] un centro médico, un sistema de salud o la comunidad?</w:t>
      </w:r>
    </w:p>
    <w:p w14:paraId="2ADB4719" w14:textId="77777777" w:rsidR="007E7DEB" w:rsidRPr="00D11F6E" w:rsidRDefault="007E7DEB">
      <w:pPr>
        <w:rPr>
          <w:sz w:val="24"/>
          <w:szCs w:val="24"/>
        </w:rPr>
      </w:pPr>
    </w:p>
    <w:p w14:paraId="39434B0C" w14:textId="77777777" w:rsidR="007E7DEB" w:rsidRPr="00D11F6E" w:rsidRDefault="00D11F6E">
      <w:pPr>
        <w:rPr>
          <w:sz w:val="24"/>
          <w:szCs w:val="24"/>
        </w:rPr>
      </w:pPr>
      <w:r w:rsidRPr="00D11F6E">
        <w:rPr>
          <w:sz w:val="24"/>
          <w:szCs w:val="24"/>
        </w:rPr>
        <w:t>Comentarios de los miembros del comité:</w:t>
      </w:r>
    </w:p>
    <w:p w14:paraId="65A2D157" w14:textId="77777777" w:rsidR="007E7DEB" w:rsidRPr="00D11F6E" w:rsidRDefault="00D11F6E">
      <w:pPr>
        <w:numPr>
          <w:ilvl w:val="0"/>
          <w:numId w:val="5"/>
        </w:numPr>
        <w:rPr>
          <w:sz w:val="24"/>
          <w:szCs w:val="24"/>
        </w:rPr>
      </w:pPr>
      <w:r w:rsidRPr="00D11F6E">
        <w:rPr>
          <w:sz w:val="24"/>
          <w:szCs w:val="24"/>
        </w:rPr>
        <w:t xml:space="preserve">El pronóstico clínico es un criterio justo, pero debemos reconocer el sesgo negativo de los profesionales de la salud con respecto a las personas mayores, a las que padecen alguna discapacidad o a las que son de una raza diferente. Esto debería incluirse en la capacitación que se les proporcione a los equipos de priorización. </w:t>
      </w:r>
    </w:p>
    <w:p w14:paraId="3245E979" w14:textId="77777777" w:rsidR="007E7DEB" w:rsidRPr="00D11F6E" w:rsidRDefault="00D11F6E">
      <w:pPr>
        <w:numPr>
          <w:ilvl w:val="0"/>
          <w:numId w:val="5"/>
        </w:numPr>
        <w:rPr>
          <w:sz w:val="24"/>
          <w:szCs w:val="24"/>
        </w:rPr>
      </w:pPr>
      <w:r w:rsidRPr="00D11F6E">
        <w:rPr>
          <w:sz w:val="24"/>
          <w:szCs w:val="24"/>
        </w:rPr>
        <w:t xml:space="preserve">La capacidad del profesional de la salud para pronosticar, incluso en los extremos, puede verse afectada por su competencia y experiencia. Es importante que la asignación de recursos se diseñe de la manera más objetiva posible (por ejemplo, mediante herramientas de pronóstico o un conjunto de criterios clínicos objetivos). De lo contrario, el sesgo y la variabilidad podrían desempeñar un papel importante. </w:t>
      </w:r>
    </w:p>
    <w:p w14:paraId="3F1A8BE4" w14:textId="77777777" w:rsidR="007E7DEB" w:rsidRPr="00D11F6E" w:rsidRDefault="00D11F6E">
      <w:pPr>
        <w:numPr>
          <w:ilvl w:val="0"/>
          <w:numId w:val="5"/>
        </w:numPr>
        <w:rPr>
          <w:sz w:val="24"/>
          <w:szCs w:val="24"/>
        </w:rPr>
      </w:pPr>
      <w:r w:rsidRPr="00D11F6E">
        <w:rPr>
          <w:sz w:val="24"/>
          <w:szCs w:val="24"/>
        </w:rPr>
        <w:t xml:space="preserve">También puede haber variabilidad entre los sistemas de atención médica. La capacitación en priorización debe ser uniforme, quizá asincrónica, en todos los centros y sistemas de atención médica. </w:t>
      </w:r>
    </w:p>
    <w:p w14:paraId="787587DC" w14:textId="77777777" w:rsidR="007E7DEB" w:rsidRPr="00D11F6E" w:rsidRDefault="007E7DEB">
      <w:pPr>
        <w:rPr>
          <w:sz w:val="24"/>
          <w:szCs w:val="24"/>
        </w:rPr>
      </w:pPr>
    </w:p>
    <w:p w14:paraId="4FEA018D" w14:textId="77777777" w:rsidR="007E7DEB" w:rsidRPr="00D11F6E" w:rsidRDefault="00D11F6E">
      <w:pPr>
        <w:rPr>
          <w:i/>
          <w:sz w:val="24"/>
          <w:szCs w:val="24"/>
        </w:rPr>
      </w:pPr>
      <w:r w:rsidRPr="00D11F6E">
        <w:rPr>
          <w:i/>
          <w:iCs/>
          <w:sz w:val="24"/>
          <w:szCs w:val="24"/>
        </w:rPr>
        <w:t>Comentario público</w:t>
      </w:r>
    </w:p>
    <w:p w14:paraId="5F4A5729" w14:textId="77777777" w:rsidR="007E7DEB" w:rsidRPr="00D11F6E" w:rsidRDefault="00D11F6E">
      <w:pPr>
        <w:rPr>
          <w:sz w:val="24"/>
          <w:szCs w:val="24"/>
        </w:rPr>
      </w:pPr>
      <w:r w:rsidRPr="00D11F6E">
        <w:rPr>
          <w:sz w:val="24"/>
          <w:szCs w:val="24"/>
        </w:rPr>
        <w:t xml:space="preserve">No hubo comentarios públicos. </w:t>
      </w:r>
    </w:p>
    <w:p w14:paraId="41FEB109" w14:textId="77777777" w:rsidR="007E7DEB" w:rsidRPr="00D11F6E" w:rsidRDefault="007E7DEB">
      <w:pPr>
        <w:rPr>
          <w:sz w:val="24"/>
          <w:szCs w:val="24"/>
        </w:rPr>
      </w:pPr>
    </w:p>
    <w:p w14:paraId="62DA8ABF" w14:textId="77777777" w:rsidR="007E7DEB" w:rsidRPr="00D11F6E" w:rsidRDefault="00D11F6E">
      <w:pPr>
        <w:rPr>
          <w:i/>
          <w:sz w:val="24"/>
          <w:szCs w:val="24"/>
        </w:rPr>
      </w:pPr>
      <w:r w:rsidRPr="00D11F6E">
        <w:rPr>
          <w:i/>
          <w:iCs/>
          <w:sz w:val="24"/>
          <w:szCs w:val="24"/>
        </w:rPr>
        <w:t>Momento para debatir en grupos pequeños</w:t>
      </w:r>
    </w:p>
    <w:p w14:paraId="7509B17A" w14:textId="77777777" w:rsidR="007E7DEB" w:rsidRPr="00D11F6E" w:rsidRDefault="00D11F6E">
      <w:pPr>
        <w:rPr>
          <w:sz w:val="24"/>
          <w:szCs w:val="24"/>
        </w:rPr>
      </w:pPr>
      <w:r w:rsidRPr="00D11F6E">
        <w:rPr>
          <w:sz w:val="24"/>
          <w:szCs w:val="24"/>
        </w:rPr>
        <w:t xml:space="preserve">Los miembros del comité analizaron las 7 opciones de priorización que se revisaron en 4 grupos de trabajo. Nota: No hubo un grupo de salud pública/salud centrada en la comunidad debido a la falta de asistencia. En cambio, el grupo de hospitales/pacientes hospitalizados se dividió en 2. </w:t>
      </w:r>
    </w:p>
    <w:p w14:paraId="0FEA8B56" w14:textId="77777777" w:rsidR="007E7DEB" w:rsidRPr="00D11F6E" w:rsidRDefault="007E7DEB">
      <w:pPr>
        <w:rPr>
          <w:sz w:val="24"/>
          <w:szCs w:val="24"/>
        </w:rPr>
      </w:pPr>
    </w:p>
    <w:p w14:paraId="33F01904" w14:textId="77777777" w:rsidR="007E7DEB" w:rsidRPr="00D11F6E" w:rsidRDefault="00D11F6E">
      <w:pPr>
        <w:rPr>
          <w:i/>
          <w:sz w:val="24"/>
          <w:szCs w:val="24"/>
        </w:rPr>
      </w:pPr>
      <w:r w:rsidRPr="00D11F6E">
        <w:rPr>
          <w:i/>
          <w:iCs/>
          <w:sz w:val="24"/>
          <w:szCs w:val="24"/>
        </w:rPr>
        <w:t>Momento para compartir opiniones en el grupo general</w:t>
      </w:r>
    </w:p>
    <w:p w14:paraId="1CFC7FD4" w14:textId="77777777" w:rsidR="007E7DEB" w:rsidRPr="00D11F6E" w:rsidRDefault="007E7DEB">
      <w:pPr>
        <w:rPr>
          <w:sz w:val="24"/>
          <w:szCs w:val="24"/>
        </w:rPr>
      </w:pPr>
    </w:p>
    <w:p w14:paraId="1DC0A589" w14:textId="77777777" w:rsidR="007E7DEB" w:rsidRPr="00D11F6E" w:rsidRDefault="00D11F6E">
      <w:pPr>
        <w:rPr>
          <w:sz w:val="24"/>
          <w:szCs w:val="24"/>
        </w:rPr>
      </w:pPr>
      <w:r w:rsidRPr="00D11F6E">
        <w:rPr>
          <w:sz w:val="24"/>
          <w:szCs w:val="24"/>
        </w:rPr>
        <w:t>Grupo 1: Específicas de la cultura</w:t>
      </w:r>
    </w:p>
    <w:p w14:paraId="029B311F" w14:textId="77777777" w:rsidR="007E7DEB" w:rsidRPr="00D11F6E" w:rsidRDefault="00D11F6E">
      <w:pPr>
        <w:numPr>
          <w:ilvl w:val="0"/>
          <w:numId w:val="6"/>
        </w:numPr>
        <w:rPr>
          <w:sz w:val="24"/>
          <w:szCs w:val="24"/>
        </w:rPr>
      </w:pPr>
      <w:r w:rsidRPr="00D11F6E">
        <w:rPr>
          <w:sz w:val="24"/>
          <w:szCs w:val="24"/>
        </w:rPr>
        <w:t>Analizó cómo SOFA/mSOFA no son herramientas neutrales ni objetivas y que empeorarán las inequidades en salud.</w:t>
      </w:r>
    </w:p>
    <w:p w14:paraId="16B81628" w14:textId="77777777" w:rsidR="007E7DEB" w:rsidRPr="00D11F6E" w:rsidRDefault="00D11F6E">
      <w:pPr>
        <w:numPr>
          <w:ilvl w:val="0"/>
          <w:numId w:val="6"/>
        </w:numPr>
        <w:rPr>
          <w:sz w:val="24"/>
          <w:szCs w:val="24"/>
        </w:rPr>
      </w:pPr>
      <w:r w:rsidRPr="00D11F6E">
        <w:rPr>
          <w:sz w:val="24"/>
          <w:szCs w:val="24"/>
        </w:rPr>
        <w:t xml:space="preserve">El grupo comprende cómo priorizar a las personas en función de la edad podría dar lugar a una población más diversa, pero el valor general de la edad cuestiona el marco del ciclo de vida y genera una gran preocupación al pensar en los valores culturales de las comunidades culturales no dominantes. </w:t>
      </w:r>
    </w:p>
    <w:p w14:paraId="2F36B03C" w14:textId="77777777" w:rsidR="007E7DEB" w:rsidRPr="00D11F6E" w:rsidRDefault="00D11F6E">
      <w:pPr>
        <w:numPr>
          <w:ilvl w:val="0"/>
          <w:numId w:val="6"/>
        </w:numPr>
        <w:rPr>
          <w:sz w:val="24"/>
          <w:szCs w:val="24"/>
        </w:rPr>
      </w:pPr>
      <w:r w:rsidRPr="00D11F6E">
        <w:rPr>
          <w:sz w:val="24"/>
          <w:szCs w:val="24"/>
        </w:rPr>
        <w:t xml:space="preserve">Lo ideal sería tener una herramienta objetiva que utilice datos clínicos y sea capaz de hacer los ajustes necesarios para reconocer el estado de salud de las diferentes comunidades. </w:t>
      </w:r>
    </w:p>
    <w:p w14:paraId="6013C503" w14:textId="77777777" w:rsidR="007E7DEB" w:rsidRPr="00D11F6E" w:rsidRDefault="007E7DEB">
      <w:pPr>
        <w:rPr>
          <w:sz w:val="24"/>
          <w:szCs w:val="24"/>
        </w:rPr>
      </w:pPr>
    </w:p>
    <w:p w14:paraId="7179EE69" w14:textId="77777777" w:rsidR="007E7DEB" w:rsidRPr="00D11F6E" w:rsidRDefault="00D11F6E">
      <w:pPr>
        <w:rPr>
          <w:sz w:val="24"/>
          <w:szCs w:val="24"/>
        </w:rPr>
      </w:pPr>
      <w:r w:rsidRPr="00D11F6E">
        <w:rPr>
          <w:sz w:val="24"/>
          <w:szCs w:val="24"/>
        </w:rPr>
        <w:t>Grupo 2: Discapacidad y envejecimiento</w:t>
      </w:r>
    </w:p>
    <w:p w14:paraId="6DBC28AE" w14:textId="77777777" w:rsidR="007E7DEB" w:rsidRPr="00D11F6E" w:rsidRDefault="00D11F6E">
      <w:pPr>
        <w:numPr>
          <w:ilvl w:val="0"/>
          <w:numId w:val="7"/>
        </w:numPr>
        <w:rPr>
          <w:sz w:val="24"/>
          <w:szCs w:val="24"/>
        </w:rPr>
      </w:pPr>
      <w:r w:rsidRPr="00D11F6E">
        <w:rPr>
          <w:sz w:val="24"/>
          <w:szCs w:val="24"/>
        </w:rPr>
        <w:t xml:space="preserve">Algunos de los criterios que se han propuesto pueden abordar algunos problemas relacionados con la equidad, pero no otros. </w:t>
      </w:r>
    </w:p>
    <w:p w14:paraId="667182D6" w14:textId="77777777" w:rsidR="007E7DEB" w:rsidRPr="00D11F6E" w:rsidRDefault="00D11F6E">
      <w:pPr>
        <w:numPr>
          <w:ilvl w:val="0"/>
          <w:numId w:val="7"/>
        </w:numPr>
        <w:rPr>
          <w:sz w:val="24"/>
          <w:szCs w:val="24"/>
        </w:rPr>
      </w:pPr>
      <w:r w:rsidRPr="00D11F6E">
        <w:rPr>
          <w:sz w:val="24"/>
          <w:szCs w:val="24"/>
        </w:rPr>
        <w:t xml:space="preserve">No habrá un enfoque único: necesitaremos estratificar varios criterios para crear una distribución equitativa de los recursos. </w:t>
      </w:r>
    </w:p>
    <w:p w14:paraId="2BB52DAD" w14:textId="77777777" w:rsidR="007E7DEB" w:rsidRPr="00D11F6E" w:rsidRDefault="00D11F6E">
      <w:pPr>
        <w:numPr>
          <w:ilvl w:val="0"/>
          <w:numId w:val="7"/>
        </w:numPr>
        <w:rPr>
          <w:sz w:val="24"/>
          <w:szCs w:val="24"/>
        </w:rPr>
      </w:pPr>
      <w:r w:rsidRPr="00D11F6E">
        <w:rPr>
          <w:sz w:val="24"/>
          <w:szCs w:val="24"/>
        </w:rPr>
        <w:t xml:space="preserve">La edad no necesariamente indica cuál puede ser el resultado de salud de una persona. </w:t>
      </w:r>
    </w:p>
    <w:p w14:paraId="60A608D5" w14:textId="77777777" w:rsidR="007E7DEB" w:rsidRPr="00D11F6E" w:rsidRDefault="00D11F6E">
      <w:pPr>
        <w:numPr>
          <w:ilvl w:val="0"/>
          <w:numId w:val="7"/>
        </w:numPr>
        <w:rPr>
          <w:sz w:val="24"/>
          <w:szCs w:val="24"/>
        </w:rPr>
      </w:pPr>
      <w:r w:rsidRPr="00D11F6E">
        <w:rPr>
          <w:sz w:val="24"/>
          <w:szCs w:val="24"/>
        </w:rPr>
        <w:lastRenderedPageBreak/>
        <w:t xml:space="preserve">Con el COVID-19, las voces de las personas con discapacidad se vieron limitadas a la hora de poder visitar el hospital. Necesitamos asegurarnos de que se escuche a las personas capaces de abogar por las personas con discapacidades. </w:t>
      </w:r>
    </w:p>
    <w:p w14:paraId="5CADBC0D" w14:textId="77777777" w:rsidR="007E7DEB" w:rsidRPr="00D11F6E" w:rsidRDefault="00D11F6E">
      <w:pPr>
        <w:numPr>
          <w:ilvl w:val="0"/>
          <w:numId w:val="7"/>
        </w:numPr>
        <w:rPr>
          <w:sz w:val="24"/>
          <w:szCs w:val="24"/>
        </w:rPr>
      </w:pPr>
      <w:r w:rsidRPr="00D11F6E">
        <w:rPr>
          <w:sz w:val="24"/>
          <w:szCs w:val="24"/>
        </w:rPr>
        <w:t xml:space="preserve">Es importante comprender que, cuanto más prescriptivos nos volvemos, más difícil es tener flexibilidad o ser receptivo. Cuantos más criterios implementamos, menos accesibles serán las pautas de priorización. </w:t>
      </w:r>
    </w:p>
    <w:p w14:paraId="1014356A" w14:textId="4F98738F" w:rsidR="007E7DEB" w:rsidRPr="00D11F6E" w:rsidRDefault="00D11F6E">
      <w:pPr>
        <w:numPr>
          <w:ilvl w:val="0"/>
          <w:numId w:val="7"/>
        </w:numPr>
        <w:rPr>
          <w:sz w:val="24"/>
          <w:szCs w:val="24"/>
        </w:rPr>
      </w:pPr>
      <w:r w:rsidRPr="00D11F6E">
        <w:rPr>
          <w:sz w:val="24"/>
          <w:szCs w:val="24"/>
        </w:rPr>
        <w:t xml:space="preserve">Será importante reconocer que cada emergencia (salud, desastre natural, etc.) incluirá sus propios desafíos. </w:t>
      </w:r>
    </w:p>
    <w:p w14:paraId="7251CC31" w14:textId="77777777" w:rsidR="007E7DEB" w:rsidRPr="00D11F6E" w:rsidRDefault="007E7DEB">
      <w:pPr>
        <w:rPr>
          <w:sz w:val="24"/>
          <w:szCs w:val="24"/>
        </w:rPr>
      </w:pPr>
    </w:p>
    <w:p w14:paraId="471365D7" w14:textId="77777777" w:rsidR="007E7DEB" w:rsidRPr="00D11F6E" w:rsidRDefault="00D11F6E">
      <w:pPr>
        <w:rPr>
          <w:sz w:val="24"/>
          <w:szCs w:val="24"/>
        </w:rPr>
      </w:pPr>
      <w:r w:rsidRPr="00D11F6E">
        <w:rPr>
          <w:sz w:val="24"/>
          <w:szCs w:val="24"/>
        </w:rPr>
        <w:t xml:space="preserve">Grupo 3: Hospitales/Pacientes hospitalizados </w:t>
      </w:r>
    </w:p>
    <w:p w14:paraId="4E36D4A1" w14:textId="77777777" w:rsidR="007E7DEB" w:rsidRPr="00D11F6E" w:rsidRDefault="00D11F6E">
      <w:pPr>
        <w:numPr>
          <w:ilvl w:val="0"/>
          <w:numId w:val="8"/>
        </w:numPr>
        <w:rPr>
          <w:sz w:val="24"/>
          <w:szCs w:val="24"/>
        </w:rPr>
      </w:pPr>
      <w:r w:rsidRPr="00D11F6E">
        <w:rPr>
          <w:sz w:val="24"/>
          <w:szCs w:val="24"/>
        </w:rPr>
        <w:t>El punto clave que se planteó fue que las oportunidades equitativas no deberían ser una opción aislada. Sin embargo, es lo suficientemente amplio como para aplicarse a diferentes crisis.</w:t>
      </w:r>
    </w:p>
    <w:p w14:paraId="2887F111" w14:textId="77777777" w:rsidR="007E7DEB" w:rsidRPr="00D11F6E" w:rsidRDefault="00D11F6E">
      <w:pPr>
        <w:numPr>
          <w:ilvl w:val="0"/>
          <w:numId w:val="8"/>
        </w:numPr>
        <w:rPr>
          <w:sz w:val="24"/>
          <w:szCs w:val="24"/>
        </w:rPr>
      </w:pPr>
      <w:r w:rsidRPr="00D11F6E">
        <w:rPr>
          <w:sz w:val="24"/>
          <w:szCs w:val="24"/>
        </w:rPr>
        <w:t xml:space="preserve">Existen preguntas sobre la recopilación de datos en tiempo real y cómo podemos traducir esto en usar la opción de oportunidades equitativas. </w:t>
      </w:r>
    </w:p>
    <w:p w14:paraId="0237E515" w14:textId="77777777" w:rsidR="007E7DEB" w:rsidRPr="00D11F6E" w:rsidRDefault="00D11F6E">
      <w:pPr>
        <w:numPr>
          <w:ilvl w:val="0"/>
          <w:numId w:val="8"/>
        </w:numPr>
        <w:rPr>
          <w:sz w:val="24"/>
          <w:szCs w:val="24"/>
        </w:rPr>
      </w:pPr>
      <w:r w:rsidRPr="00D11F6E">
        <w:rPr>
          <w:sz w:val="24"/>
          <w:szCs w:val="24"/>
        </w:rPr>
        <w:t xml:space="preserve">La equidad y el pronóstico clínico deben combinarse como una prioridad, en lugar de utilizar estas opciones más adelante en el proceso. </w:t>
      </w:r>
    </w:p>
    <w:p w14:paraId="355C0A2E" w14:textId="77777777" w:rsidR="007E7DEB" w:rsidRPr="00D11F6E" w:rsidRDefault="007E7DEB">
      <w:pPr>
        <w:rPr>
          <w:sz w:val="24"/>
          <w:szCs w:val="24"/>
        </w:rPr>
      </w:pPr>
    </w:p>
    <w:p w14:paraId="26FF5F5B" w14:textId="77777777" w:rsidR="007E7DEB" w:rsidRPr="00D11F6E" w:rsidRDefault="00D11F6E">
      <w:pPr>
        <w:rPr>
          <w:sz w:val="24"/>
          <w:szCs w:val="24"/>
        </w:rPr>
      </w:pPr>
      <w:r w:rsidRPr="00D11F6E">
        <w:rPr>
          <w:sz w:val="24"/>
          <w:szCs w:val="24"/>
        </w:rPr>
        <w:t>Grupo 4: Hospitales/Pacientes hospitalizados</w:t>
      </w:r>
    </w:p>
    <w:p w14:paraId="2DF9EBF8" w14:textId="77777777" w:rsidR="007E7DEB" w:rsidRPr="00D11F6E" w:rsidRDefault="00D11F6E">
      <w:pPr>
        <w:numPr>
          <w:ilvl w:val="0"/>
          <w:numId w:val="2"/>
        </w:numPr>
        <w:rPr>
          <w:sz w:val="24"/>
          <w:szCs w:val="24"/>
        </w:rPr>
      </w:pPr>
      <w:r w:rsidRPr="00D11F6E">
        <w:rPr>
          <w:sz w:val="24"/>
          <w:szCs w:val="24"/>
        </w:rPr>
        <w:t xml:space="preserve">Se compartió la inquietud sobre alejarse de los puntajes SOFA en función de su extenso historial y la experiencia clínica con su uso. </w:t>
      </w:r>
    </w:p>
    <w:p w14:paraId="67DE4EA0" w14:textId="77777777" w:rsidR="007E7DEB" w:rsidRPr="00D11F6E" w:rsidRDefault="00D11F6E">
      <w:pPr>
        <w:numPr>
          <w:ilvl w:val="0"/>
          <w:numId w:val="2"/>
        </w:numPr>
        <w:rPr>
          <w:sz w:val="24"/>
          <w:szCs w:val="24"/>
        </w:rPr>
      </w:pPr>
      <w:r w:rsidRPr="00D11F6E">
        <w:rPr>
          <w:sz w:val="24"/>
          <w:szCs w:val="24"/>
        </w:rPr>
        <w:t>También se reconocieron las considerables inquietudes respecto de SOFA y la incomodidad de continuar usando esta herramienta. Se reconoció que varios estados o sistemas han dejado de usar SOFA, incluso el modelo de Pittsburgh.</w:t>
      </w:r>
    </w:p>
    <w:p w14:paraId="567B3F8B" w14:textId="77777777" w:rsidR="007E7DEB" w:rsidRPr="00D11F6E" w:rsidRDefault="00D11F6E">
      <w:pPr>
        <w:numPr>
          <w:ilvl w:val="0"/>
          <w:numId w:val="2"/>
        </w:numPr>
        <w:rPr>
          <w:sz w:val="24"/>
          <w:szCs w:val="24"/>
        </w:rPr>
      </w:pPr>
      <w:r w:rsidRPr="00D11F6E">
        <w:rPr>
          <w:sz w:val="24"/>
          <w:szCs w:val="24"/>
        </w:rPr>
        <w:t>Se necesita una mejor herramienta de pronóstico para garantizar un estándar consistente, pero aún no se encuentra disponible.</w:t>
      </w:r>
    </w:p>
    <w:p w14:paraId="51419528" w14:textId="77777777" w:rsidR="007E7DEB" w:rsidRPr="00D11F6E" w:rsidRDefault="00D11F6E">
      <w:pPr>
        <w:numPr>
          <w:ilvl w:val="0"/>
          <w:numId w:val="2"/>
        </w:numPr>
        <w:rPr>
          <w:sz w:val="24"/>
          <w:szCs w:val="24"/>
        </w:rPr>
      </w:pPr>
      <w:r w:rsidRPr="00D11F6E">
        <w:rPr>
          <w:sz w:val="24"/>
          <w:szCs w:val="24"/>
        </w:rPr>
        <w:t xml:space="preserve">Existía una inquietud adicional sobre el uso exclusivo de oportunidades equitativas, ya que, hasta ahora, se trataría de dónde se encuentran los enfoques de supervivencia. </w:t>
      </w:r>
    </w:p>
    <w:p w14:paraId="5C03FB51" w14:textId="77777777" w:rsidR="007E7DEB" w:rsidRPr="00D11F6E" w:rsidRDefault="00D11F6E">
      <w:pPr>
        <w:numPr>
          <w:ilvl w:val="0"/>
          <w:numId w:val="2"/>
        </w:numPr>
        <w:rPr>
          <w:sz w:val="24"/>
          <w:szCs w:val="24"/>
        </w:rPr>
      </w:pPr>
      <w:r w:rsidRPr="00D11F6E">
        <w:rPr>
          <w:sz w:val="24"/>
          <w:szCs w:val="24"/>
        </w:rPr>
        <w:t xml:space="preserve">¿Cuáles son los recursos y apoyos centralizados que tiene el Estado para apoyar a los hospitales en la implementación? </w:t>
      </w:r>
    </w:p>
    <w:p w14:paraId="1FCD3FD3" w14:textId="77777777" w:rsidR="007E7DEB" w:rsidRPr="00D11F6E" w:rsidRDefault="00D11F6E">
      <w:pPr>
        <w:numPr>
          <w:ilvl w:val="0"/>
          <w:numId w:val="2"/>
        </w:numPr>
        <w:rPr>
          <w:sz w:val="24"/>
          <w:szCs w:val="24"/>
        </w:rPr>
      </w:pPr>
      <w:r w:rsidRPr="00D11F6E">
        <w:rPr>
          <w:sz w:val="24"/>
          <w:szCs w:val="24"/>
        </w:rPr>
        <w:t>Será necesario analizar la implementación independientemente de las opciones de priorización utilizadas. Hay preocupación por los desafíos en la implementación de pronósticos clínicos para todos los pacientes en una emergencia en tiempo real.</w:t>
      </w:r>
    </w:p>
    <w:p w14:paraId="20163CA0" w14:textId="77777777" w:rsidR="007E7DEB" w:rsidRPr="00D11F6E" w:rsidRDefault="00D11F6E">
      <w:pPr>
        <w:numPr>
          <w:ilvl w:val="0"/>
          <w:numId w:val="2"/>
        </w:numPr>
        <w:rPr>
          <w:sz w:val="24"/>
          <w:szCs w:val="24"/>
        </w:rPr>
      </w:pPr>
      <w:r w:rsidRPr="00D11F6E">
        <w:rPr>
          <w:sz w:val="24"/>
          <w:szCs w:val="24"/>
        </w:rPr>
        <w:t xml:space="preserve">Existe la necesidad de cobertura de responsabilidad médica cuando se implementa la priorización. </w:t>
      </w:r>
    </w:p>
    <w:p w14:paraId="102077BB" w14:textId="77777777" w:rsidR="007E7DEB" w:rsidRPr="00D11F6E" w:rsidRDefault="00D11F6E">
      <w:pPr>
        <w:numPr>
          <w:ilvl w:val="0"/>
          <w:numId w:val="2"/>
        </w:numPr>
        <w:rPr>
          <w:sz w:val="24"/>
          <w:szCs w:val="24"/>
        </w:rPr>
      </w:pPr>
      <w:r w:rsidRPr="00D11F6E">
        <w:rPr>
          <w:sz w:val="24"/>
          <w:szCs w:val="24"/>
        </w:rPr>
        <w:t>El compromiso con la evaluación continua será importante. Se necesitará realizar un seguimiento de los resultados y tener datos para ayudar a informar nuestro proceso de toma de decisiones.</w:t>
      </w:r>
    </w:p>
    <w:p w14:paraId="489DFDDA" w14:textId="77777777" w:rsidR="007E7DEB" w:rsidRPr="00D11F6E" w:rsidRDefault="007E7DEB">
      <w:pPr>
        <w:rPr>
          <w:sz w:val="24"/>
          <w:szCs w:val="24"/>
        </w:rPr>
      </w:pPr>
    </w:p>
    <w:p w14:paraId="70206185" w14:textId="77777777" w:rsidR="007E7DEB" w:rsidRPr="00D11F6E" w:rsidRDefault="007E7DEB">
      <w:pPr>
        <w:rPr>
          <w:sz w:val="24"/>
          <w:szCs w:val="24"/>
        </w:rPr>
      </w:pPr>
    </w:p>
    <w:p w14:paraId="254A168A" w14:textId="77777777" w:rsidR="007E7DEB" w:rsidRPr="00D11F6E" w:rsidRDefault="007E7DEB">
      <w:pPr>
        <w:rPr>
          <w:sz w:val="24"/>
          <w:szCs w:val="24"/>
        </w:rPr>
      </w:pPr>
    </w:p>
    <w:sectPr w:rsidR="007E7DEB" w:rsidRPr="00D11F6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C49CE"/>
    <w:multiLevelType w:val="multilevel"/>
    <w:tmpl w:val="48D69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3368E0"/>
    <w:multiLevelType w:val="multilevel"/>
    <w:tmpl w:val="2EC833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4863A62"/>
    <w:multiLevelType w:val="multilevel"/>
    <w:tmpl w:val="FBD6FE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50E093E"/>
    <w:multiLevelType w:val="multilevel"/>
    <w:tmpl w:val="8564E9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F240A77"/>
    <w:multiLevelType w:val="multilevel"/>
    <w:tmpl w:val="4F46A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21579E3"/>
    <w:multiLevelType w:val="multilevel"/>
    <w:tmpl w:val="A0A432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A9E6E47"/>
    <w:multiLevelType w:val="multilevel"/>
    <w:tmpl w:val="ADAAC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9F03479"/>
    <w:multiLevelType w:val="multilevel"/>
    <w:tmpl w:val="9CEEC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93062864">
    <w:abstractNumId w:val="1"/>
  </w:num>
  <w:num w:numId="2" w16cid:durableId="1041129639">
    <w:abstractNumId w:val="4"/>
  </w:num>
  <w:num w:numId="3" w16cid:durableId="391851771">
    <w:abstractNumId w:val="2"/>
  </w:num>
  <w:num w:numId="4" w16cid:durableId="232594486">
    <w:abstractNumId w:val="3"/>
  </w:num>
  <w:num w:numId="5" w16cid:durableId="1939211584">
    <w:abstractNumId w:val="5"/>
  </w:num>
  <w:num w:numId="6" w16cid:durableId="1871068091">
    <w:abstractNumId w:val="7"/>
  </w:num>
  <w:num w:numId="7" w16cid:durableId="85612984">
    <w:abstractNumId w:val="0"/>
  </w:num>
  <w:num w:numId="8" w16cid:durableId="931395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DEB"/>
    <w:rsid w:val="000056A0"/>
    <w:rsid w:val="001F7A89"/>
    <w:rsid w:val="0061225C"/>
    <w:rsid w:val="007E7DEB"/>
    <w:rsid w:val="00D11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F7C9"/>
  <w15:docId w15:val="{534D1727-5437-44BB-8E8E-CC8ED36B2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3515D1FE2D24BABF13D1247F86353" ma:contentTypeVersion="22" ma:contentTypeDescription="Create a new document." ma:contentTypeScope="" ma:versionID="a1f57e63f8dbfd30010d0f3cf69ce4d2">
  <xsd:schema xmlns:xsd="http://www.w3.org/2001/XMLSchema" xmlns:xs="http://www.w3.org/2001/XMLSchema" xmlns:p="http://schemas.microsoft.com/office/2006/metadata/properties" xmlns:ns1="http://schemas.microsoft.com/sharepoint/v3" xmlns:ns2="59da1016-2a1b-4f8a-9768-d7a4932f6f16" xmlns:ns3="b4817596-04ca-43a7-941c-57fdc3f11b77" xmlns:ns4="29e37942-99f6-4128-95c5-28406e3689d6" targetNamespace="http://schemas.microsoft.com/office/2006/metadata/properties" ma:root="true" ma:fieldsID="a4d34e3a9df7f82d4aa815e483abdb4f" ns1:_="" ns2:_="" ns3:_="" ns4:_="">
    <xsd:import namespace="http://schemas.microsoft.com/sharepoint/v3"/>
    <xsd:import namespace="59da1016-2a1b-4f8a-9768-d7a4932f6f16"/>
    <xsd:import namespace="b4817596-04ca-43a7-941c-57fdc3f11b77"/>
    <xsd:import namespace="29e37942-99f6-4128-95c5-28406e3689d6"/>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3:DocumentID" minOccurs="0"/>
                <xsd:element ref="ns3:Position" minOccurs="0"/>
                <xsd:element ref="ns2:Visible" minOccurs="0"/>
                <xsd:element ref="ns2:SharedWithUsers" minOccurs="0"/>
                <xsd:element ref="ns3:Meeting" minOccurs="0"/>
                <xsd:element ref="ns3:Meeting_x003a_Meeting_x0020_Lookup_x0020_Reference" minOccurs="0"/>
                <xsd:element ref="ns3:Language" minOccurs="0"/>
                <xsd:element ref="ns4:cz7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Visible" ma:index="17" nillable="true" ma:displayName="Visible" ma:default="1" ma:description="Refresh Documents? Click Save ↓" ma:internalName="Visible" ma:readOnly="fals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17596-04ca-43a7-941c-57fdc3f11b77"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DocumentID" ma:index="15" nillable="true" ma:displayName="DocumentID" ma:description="MeetingLibrary workflow" ma:internalName="DocumentID" ma:readOnly="false">
      <xsd:simpleType>
        <xsd:restriction base="dms:Text">
          <xsd:maxLength value="255"/>
        </xsd:restriction>
      </xsd:simpleType>
    </xsd:element>
    <xsd:element name="Position" ma:index="16" nillable="true" ma:displayName="Position" ma:description="Set unique document Position #s for each Meeting&#10;(e.g. Do not set two #3 positions for a meeting)" ma:format="Dropdown" ma:internalName="Position" ma:readOnly="false">
      <xsd:simpleType>
        <xsd:restriction base="dms:Choice">
          <xsd:enumeration value="01"/>
          <xsd:enumeration value="02"/>
          <xsd:enumeration value="03"/>
          <xsd:enumeration value="04"/>
          <xsd:enumeration value="05"/>
          <xsd:enumeration value="06"/>
          <xsd:enumeration value="07"/>
          <xsd:enumeration value="08"/>
          <xsd:enumeration value="09"/>
          <xsd:enumeration value="10"/>
        </xsd:restriction>
      </xsd:simpleType>
    </xsd:element>
    <xsd:element name="Meeting" ma:index="19" nillable="true" ma:displayName="Meeting" ma:list="{62291a25-5175-4717-8a8b-2dea5bba6694}" ma:internalName="Meeting" ma:showField="Meeting_x0020_Lookup_x0020_Refer">
      <xsd:simpleType>
        <xsd:restriction base="dms:Lookup"/>
      </xsd:simpleType>
    </xsd:element>
    <xsd:element name="Meeting_x003a_Meeting_x0020_Lookup_x0020_Reference" ma:index="20" nillable="true" ma:displayName="Meeting:Meeting Lookup Reference" ma:list="{62291a25-5175-4717-8a8b-2dea5bba6694}" ma:internalName="Meeting_x003a_Meeting_x0020_Lookup_x0020_Reference" ma:readOnly="true" ma:showField="Meeting_x0020_Lookup_x0020_Refer" ma:web="59da1016-2a1b-4f8a-9768-d7a4932f6f16">
      <xsd:simpleType>
        <xsd:restriction base="dms:Lookup"/>
      </xsd:simpleType>
    </xsd:element>
    <xsd:element name="Language" ma:index="21" nillable="true" ma:displayName="Language" ma:format="Dropdown" ma:internalName="Language">
      <xsd:simpleType>
        <xsd:restriction base="dms:Choice">
          <xsd:enumeration value="English"/>
          <xsd:enumeration value="Spanish"/>
          <xsd:enumeration value="Traditional Chinese"/>
          <xsd:enumeration value="Simplified Chinese"/>
          <xsd:enumeration value="Hmong"/>
          <xsd:enumeration value="Marshallese"/>
          <xsd:enumeration value="Portuguese"/>
          <xsd:enumeration value="Somali"/>
          <xsd:enumeration value="Vietnamese"/>
        </xsd:restriction>
      </xsd:simpleType>
    </xsd:element>
  </xsd:schema>
  <xsd:schema xmlns:xsd="http://www.w3.org/2001/XMLSchema" xmlns:xs="http://www.w3.org/2001/XMLSchema" xmlns:dms="http://schemas.microsoft.com/office/2006/documentManagement/types" xmlns:pc="http://schemas.microsoft.com/office/infopath/2007/PartnerControls" targetNamespace="29e37942-99f6-4128-95c5-28406e3689d6" elementFormDefault="qualified">
    <xsd:import namespace="http://schemas.microsoft.com/office/2006/documentManagement/types"/>
    <xsd:import namespace="http://schemas.microsoft.com/office/infopath/2007/PartnerControls"/>
    <xsd:element name="cz7u" ma:index="22" nillable="true" ma:displayName="Date" ma:format="DateOnly" ma:internalName="cz7u">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Subtopic xmlns="59da1016-2a1b-4f8a-9768-d7a4932f6f16" xsi:nil="true"/>
    <Position xmlns="b4817596-04ca-43a7-941c-57fdc3f11b77" xsi:nil="true"/>
    <DocumentExpirationDate xmlns="59da1016-2a1b-4f8a-9768-d7a4932f6f16" xsi:nil="true"/>
    <DocumentID xmlns="b4817596-04ca-43a7-941c-57fdc3f11b77" xsi:nil="true"/>
    <Language xmlns="b4817596-04ca-43a7-941c-57fdc3f11b77">Spanish</Language>
    <URL xmlns="http://schemas.microsoft.com/sharepoint/v3">
      <Url xsi:nil="true"/>
      <Description xsi:nil="true"/>
    </URL>
    <Visible xmlns="59da1016-2a1b-4f8a-9768-d7a4932f6f16">false</Visible>
    <Meta_x0020_Keywords xmlns="b4817596-04ca-43a7-941c-57fdc3f11b77" xsi:nil="true"/>
    <Meeting xmlns="b4817596-04ca-43a7-941c-57fdc3f11b77">13</Meeting>
    <IACategory xmlns="59da1016-2a1b-4f8a-9768-d7a4932f6f16" xsi:nil="true"/>
    <Meta_x0020_Description xmlns="b4817596-04ca-43a7-941c-57fdc3f11b77" xsi:nil="true"/>
    <IATopic xmlns="59da1016-2a1b-4f8a-9768-d7a4932f6f16" xsi:nil="true"/>
    <cz7u xmlns="29e37942-99f6-4128-95c5-28406e3689d6">2023-04-27T07:00:00+00:00</cz7u>
  </documentManagement>
</p:properties>
</file>

<file path=customXml/itemProps1.xml><?xml version="1.0" encoding="utf-8"?>
<ds:datastoreItem xmlns:ds="http://schemas.openxmlformats.org/officeDocument/2006/customXml" ds:itemID="{FC663E48-B1FE-434F-89CF-96D7572D8B81}"/>
</file>

<file path=customXml/itemProps2.xml><?xml version="1.0" encoding="utf-8"?>
<ds:datastoreItem xmlns:ds="http://schemas.openxmlformats.org/officeDocument/2006/customXml" ds:itemID="{EF606418-5F11-4DC0-8E66-DA783BEF6889}"/>
</file>

<file path=customXml/itemProps3.xml><?xml version="1.0" encoding="utf-8"?>
<ds:datastoreItem xmlns:ds="http://schemas.openxmlformats.org/officeDocument/2006/customXml" ds:itemID="{AF6AE582-0EE5-49E5-9F02-0E5D8D6311E0}"/>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5864</Characters>
  <Application>Microsoft Office Word</Application>
  <DocSecurity>0</DocSecurity>
  <Lines>48</Lines>
  <Paragraphs>13</Paragraphs>
  <ScaleCrop>false</ScaleCrop>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ORAAC April 27, 2023 Meeting Summary Spanish</dc:title>
  <dc:creator>Vine Sasha</dc:creator>
  <cp:lastModifiedBy>Vine Sasha</cp:lastModifiedBy>
  <cp:revision>2</cp:revision>
  <dcterms:created xsi:type="dcterms:W3CDTF">2023-05-10T15:48:00Z</dcterms:created>
  <dcterms:modified xsi:type="dcterms:W3CDTF">2023-05-10T15:48:00Z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0x010100A4F3515D1FE2D24BABF13D1247F86353</vt:lpwstr>
  </property>
</Properties>
</file>